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225397">
        <w:t>12</w:t>
      </w:r>
      <w:r w:rsidR="000C7B53">
        <w:t xml:space="preserve"> мая 202</w:t>
      </w:r>
      <w:r w:rsidR="00225397">
        <w:t>3</w:t>
      </w:r>
      <w:r w:rsidR="000C7B53">
        <w:t xml:space="preserve"> года № </w:t>
      </w:r>
      <w:r w:rsidR="007A475E">
        <w:t>37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первый квартал 202</w:t>
      </w:r>
      <w:r w:rsidR="00225397">
        <w:rPr>
          <w:rFonts w:ascii="Times New Roman CYR" w:hAnsi="Times New Roman CYR" w:cs="Times New Roman CYR"/>
        </w:rPr>
        <w:t>3</w:t>
      </w:r>
      <w:r w:rsidR="00F379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первый квартал 202</w:t>
      </w:r>
      <w:r w:rsidR="0022539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A34EFD">
        <w:rPr>
          <w:rFonts w:ascii="Times New Roman CYR" w:hAnsi="Times New Roman CYR" w:cs="Times New Roman CYR"/>
        </w:rPr>
        <w:t>ал 202</w:t>
      </w:r>
      <w:r w:rsidR="00225397">
        <w:rPr>
          <w:rFonts w:ascii="Times New Roman CYR" w:hAnsi="Times New Roman CYR" w:cs="Times New Roman CYR"/>
        </w:rPr>
        <w:t>3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3D0181" w:rsidRPr="00C1551C" w:rsidRDefault="003D0181" w:rsidP="00302DA2">
      <w:pPr>
        <w:spacing w:before="240"/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Pr="00C1551C">
        <w:rPr>
          <w:b/>
        </w:rPr>
        <w:t>Н.Л. Ченцова</w:t>
      </w:r>
    </w:p>
    <w:p w:rsidR="00494AC8" w:rsidRDefault="00494AC8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4AC8" w:rsidRDefault="00494AC8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4AC8" w:rsidRDefault="00494AC8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40879" w:rsidRDefault="00440879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225397">
        <w:rPr>
          <w:rFonts w:ascii="Times New Roman CYR" w:hAnsi="Times New Roman CYR" w:cs="Times New Roman CYR"/>
          <w:sz w:val="24"/>
          <w:szCs w:val="24"/>
        </w:rPr>
        <w:t>12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мая 202</w:t>
      </w:r>
      <w:r w:rsidR="00225397">
        <w:rPr>
          <w:rFonts w:ascii="Times New Roman CYR" w:hAnsi="Times New Roman CYR" w:cs="Times New Roman CYR"/>
          <w:sz w:val="24"/>
          <w:szCs w:val="24"/>
        </w:rPr>
        <w:t>3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6407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475E">
        <w:rPr>
          <w:rFonts w:ascii="Times New Roman CYR" w:hAnsi="Times New Roman CYR" w:cs="Times New Roman CYR"/>
          <w:sz w:val="24"/>
          <w:szCs w:val="24"/>
        </w:rPr>
        <w:t>37</w:t>
      </w:r>
    </w:p>
    <w:p w:rsidR="00440879" w:rsidRPr="0079121F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A01DF6" w:rsidRDefault="00A01DF6"/>
    <w:tbl>
      <w:tblPr>
        <w:tblW w:w="5000" w:type="pct"/>
        <w:tblLook w:val="04A0"/>
      </w:tblPr>
      <w:tblGrid>
        <w:gridCol w:w="1919"/>
        <w:gridCol w:w="1400"/>
        <w:gridCol w:w="1177"/>
        <w:gridCol w:w="1035"/>
        <w:gridCol w:w="1103"/>
        <w:gridCol w:w="1035"/>
        <w:gridCol w:w="1082"/>
        <w:gridCol w:w="1103"/>
      </w:tblGrid>
      <w:tr w:rsidR="00A01DF6" w:rsidRPr="00A01DF6" w:rsidTr="00A01DF6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70"/>
            <w:r w:rsidRPr="00A01DF6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квартал 2023 года</w:t>
            </w:r>
            <w:bookmarkEnd w:id="0"/>
          </w:p>
        </w:tc>
      </w:tr>
      <w:tr w:rsidR="00A01DF6" w:rsidRPr="00A01DF6" w:rsidTr="00A01DF6">
        <w:trPr>
          <w:trHeight w:val="1560"/>
        </w:trPr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Уточненный план на 2023 год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Исполнено за 1 квартал 2023 года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% исполнения за 1 квартал 2023 года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Исполнено  за 1 квартал 2022 года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отклонение (факт 2023-2022)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%              роста исполнения 2023 к 2022 году</w:t>
            </w:r>
          </w:p>
        </w:tc>
      </w:tr>
      <w:tr w:rsidR="00A01DF6" w:rsidRPr="00A01DF6" w:rsidTr="00A01DF6">
        <w:trPr>
          <w:trHeight w:val="36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106 545,8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15 875,4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14 708,3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1 167,1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A01DF6" w:rsidRPr="00A01DF6" w:rsidTr="00A01DF6">
        <w:trPr>
          <w:trHeight w:val="32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66 550,3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12 291,4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12 901,0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-609,6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95,3</w:t>
            </w:r>
          </w:p>
        </w:tc>
      </w:tr>
      <w:tr w:rsidR="00A01DF6" w:rsidRPr="00A01DF6" w:rsidTr="00A01DF6">
        <w:trPr>
          <w:trHeight w:val="32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66 550,3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12 291,4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12 901,0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-609,6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A01DF6" w:rsidRPr="00A01DF6" w:rsidTr="00A01DF6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2 745,1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738,0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671,1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66,9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</w:tr>
      <w:tr w:rsidR="00A01DF6" w:rsidRPr="00A01DF6" w:rsidTr="00A01DF6">
        <w:trPr>
          <w:trHeight w:val="31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2 745,1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738,0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671,1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66,9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110,0</w:t>
            </w:r>
          </w:p>
        </w:tc>
      </w:tr>
      <w:tr w:rsidR="00A01DF6" w:rsidRPr="00A01DF6" w:rsidTr="00A01DF6">
        <w:trPr>
          <w:trHeight w:val="31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31 208,8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1 197,6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-174,6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1 372,2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01DF6" w:rsidRPr="00A01DF6" w:rsidTr="00A01DF6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9 200,8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-80,5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420,2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-500,7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22 008,0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1 278,1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-594,8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1 872,9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15 119,5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1 466,8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1 710,4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-243,6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85,8</w:t>
            </w:r>
          </w:p>
        </w:tc>
      </w:tr>
      <w:tr w:rsidR="00A01DF6" w:rsidRPr="00A01DF6" w:rsidTr="00A01DF6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6 888,5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-188,7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-2 305,2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2 116,5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8,2</w:t>
            </w:r>
          </w:p>
        </w:tc>
      </w:tr>
      <w:tr w:rsidR="00A01DF6" w:rsidRPr="00A01DF6" w:rsidTr="00A01DF6">
        <w:trPr>
          <w:trHeight w:val="8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3 998,0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888,2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947,1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-58,9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93,8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1 379,3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698,3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50,6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284,9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413,4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245,1</w:t>
            </w:r>
          </w:p>
        </w:tc>
      </w:tr>
      <w:tr w:rsidR="00A01DF6" w:rsidRPr="00A01DF6" w:rsidTr="00A01DF6">
        <w:trPr>
          <w:trHeight w:val="37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2 576,7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189,9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662,2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-472,3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28,7</w:t>
            </w:r>
          </w:p>
        </w:tc>
      </w:tr>
      <w:tr w:rsidR="00A01DF6" w:rsidRPr="00A01DF6" w:rsidTr="00A01DF6">
        <w:trPr>
          <w:trHeight w:val="102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lastRenderedPageBreak/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i/>
                <w:iCs/>
                <w:color w:val="000000"/>
                <w:sz w:val="20"/>
                <w:szCs w:val="20"/>
              </w:rPr>
              <w:t>1 11 09080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142,7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43,2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1 427,0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330,0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142,7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43,2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1 427,0</w:t>
            </w:r>
          </w:p>
        </w:tc>
      </w:tr>
      <w:tr w:rsidR="00A01DF6" w:rsidRPr="00A01DF6" w:rsidTr="00A01DF6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617,5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353,7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263,8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174,6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617,5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353,7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263,8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174,6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38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1 713,6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85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1 713,6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i/>
                <w:iCs/>
                <w:sz w:val="20"/>
                <w:szCs w:val="20"/>
              </w:rPr>
            </w:pPr>
            <w:r w:rsidRPr="00A01DF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42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101 471,1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959,3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754,8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204,5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127,1</w:t>
            </w:r>
          </w:p>
        </w:tc>
      </w:tr>
      <w:tr w:rsidR="00A01DF6" w:rsidRPr="00A01DF6" w:rsidTr="00A01DF6">
        <w:trPr>
          <w:trHeight w:val="58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101 471,1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944,1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754,8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189,3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125,1</w:t>
            </w:r>
          </w:p>
        </w:tc>
      </w:tr>
      <w:tr w:rsidR="00A01DF6" w:rsidRPr="00A01DF6" w:rsidTr="00A01DF6">
        <w:trPr>
          <w:trHeight w:val="52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6" w:rsidRPr="00A01DF6" w:rsidRDefault="00A01DF6" w:rsidP="00A01DF6">
            <w:pPr>
              <w:rPr>
                <w:b/>
                <w:bCs/>
                <w:sz w:val="22"/>
                <w:szCs w:val="22"/>
              </w:rPr>
            </w:pPr>
            <w:r w:rsidRPr="00A01DF6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202  16001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3 776,6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944,1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754,8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125,1</w:t>
            </w:r>
          </w:p>
        </w:tc>
      </w:tr>
      <w:tr w:rsidR="00A01DF6" w:rsidRPr="00A01DF6" w:rsidTr="00A01DF6">
        <w:trPr>
          <w:trHeight w:val="40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97 694,5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4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01DF6" w:rsidRPr="00A01DF6" w:rsidTr="00A01DF6">
        <w:trPr>
          <w:trHeight w:val="68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1DF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31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208 016,9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16 834,7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15 463,1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1 371,6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A01DF6" w:rsidRPr="00A01DF6" w:rsidTr="00A01DF6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01DF6" w:rsidRPr="00A01DF6" w:rsidRDefault="00A01DF6" w:rsidP="00A01DF6">
            <w:pPr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 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9 545,9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1 683,9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1 379,2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122,1</w:t>
            </w:r>
          </w:p>
        </w:tc>
      </w:tr>
      <w:tr w:rsidR="00A01DF6" w:rsidRPr="00A01DF6" w:rsidTr="00A01DF6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723,2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267,7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170,2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97,5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157,29</w:t>
            </w:r>
          </w:p>
        </w:tc>
      </w:tr>
      <w:tr w:rsidR="00A01DF6" w:rsidRPr="00A01DF6" w:rsidTr="00A01DF6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Функционирование законодательных (представительных</w:t>
            </w:r>
            <w:r w:rsidRPr="00A01DF6">
              <w:rPr>
                <w:color w:val="000000"/>
                <w:sz w:val="20"/>
                <w:szCs w:val="20"/>
              </w:rPr>
              <w:lastRenderedPageBreak/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1 846,2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468,5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415,3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53,2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112,8</w:t>
            </w:r>
          </w:p>
        </w:tc>
      </w:tr>
      <w:tr w:rsidR="00A01DF6" w:rsidRPr="00A01DF6" w:rsidTr="00A01DF6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30,9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104,4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2 000,0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4 945,6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916,8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764,1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152,7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120,0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3 172,0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431,7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232,0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199,7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186,1</w:t>
            </w:r>
          </w:p>
        </w:tc>
      </w:tr>
      <w:tr w:rsidR="00A01DF6" w:rsidRPr="00A01DF6" w:rsidTr="00A01DF6">
        <w:trPr>
          <w:trHeight w:val="36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0309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8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3 172,0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431,7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232,0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199,7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186,1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101 293,2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-118,8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100 343,2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146,3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-118,8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18,8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950,0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167 345,5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18 644,7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13 445,6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5 199,1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138,7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21 463,9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3 929,8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18,3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817,1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3 112,7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480,9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77 934,9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1 294,6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1 004,4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290,2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128,9</w:t>
            </w:r>
          </w:p>
        </w:tc>
      </w:tr>
      <w:tr w:rsidR="00A01DF6" w:rsidRPr="00A01DF6" w:rsidTr="00A01DF6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67 946,7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13 420,3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19,8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11 624,1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1 796,2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115,5</w:t>
            </w:r>
          </w:p>
        </w:tc>
      </w:tr>
      <w:tr w:rsidR="00A01DF6" w:rsidRPr="00A01DF6" w:rsidTr="00A01DF6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39,7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107,1</w:t>
            </w:r>
          </w:p>
        </w:tc>
      </w:tr>
      <w:tr w:rsidR="00A01DF6" w:rsidRPr="00A01DF6" w:rsidTr="00A01DF6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107,1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416,5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180,9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416,5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41,7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230,3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186,2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180,9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1 349,7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219,9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252,8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302,2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83,1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87,0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-3,9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95,5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1 047,5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217,6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-107,8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50,5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109,8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15,7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217,6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-107,8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50,5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</w:t>
            </w:r>
          </w:p>
        </w:tc>
      </w:tr>
      <w:tr w:rsidR="00A01DF6" w:rsidRPr="00A01DF6" w:rsidTr="00A01DF6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01DF6" w:rsidRPr="00A01DF6" w:rsidRDefault="00A01DF6" w:rsidP="00A01D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D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284 677,0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21 561,0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15 763,2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5 797,8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1DF6">
              <w:rPr>
                <w:b/>
                <w:bCs/>
                <w:sz w:val="20"/>
                <w:szCs w:val="20"/>
              </w:rPr>
              <w:t>136,8</w:t>
            </w:r>
          </w:p>
        </w:tc>
      </w:tr>
      <w:tr w:rsidR="00A01DF6" w:rsidRPr="00A01DF6" w:rsidTr="00A01DF6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color w:val="000000"/>
                <w:sz w:val="20"/>
                <w:szCs w:val="20"/>
              </w:rPr>
            </w:pPr>
            <w:r w:rsidRPr="00A01D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-76 660,1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-4 726,3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proofErr w:type="spellStart"/>
            <w:r w:rsidRPr="00A01D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r w:rsidRPr="00A01DF6">
              <w:rPr>
                <w:sz w:val="20"/>
                <w:szCs w:val="20"/>
              </w:rPr>
              <w:t>2 803,6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proofErr w:type="spellStart"/>
            <w:r w:rsidRPr="00A01D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6" w:rsidRPr="00A01DF6" w:rsidRDefault="00A01DF6" w:rsidP="00A01DF6">
            <w:pPr>
              <w:jc w:val="center"/>
              <w:rPr>
                <w:sz w:val="20"/>
                <w:szCs w:val="20"/>
              </w:rPr>
            </w:pPr>
            <w:proofErr w:type="spellStart"/>
            <w:r w:rsidRPr="00A01DF6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D14E4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4E4" w:rsidRDefault="004D14E4">
      <w:pPr>
        <w:spacing w:before="120" w:after="120"/>
        <w:ind w:firstLine="709"/>
        <w:jc w:val="both"/>
      </w:pPr>
      <w:r>
        <w:br w:type="page"/>
      </w:r>
    </w:p>
    <w:p w:rsidR="004D14E4" w:rsidRPr="00E55115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D14E4" w:rsidRPr="00E55115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4D14E4" w:rsidRPr="00E55115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4D14E4" w:rsidRPr="00CD4F90" w:rsidRDefault="004D14E4" w:rsidP="004D14E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D14E4" w:rsidRDefault="004D14E4" w:rsidP="004D14E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14E4" w:rsidRPr="00E55115" w:rsidRDefault="004D14E4" w:rsidP="004D14E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4D14E4" w:rsidRPr="00E36125" w:rsidTr="004D14E4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4D14E4" w:rsidRPr="00E36125" w:rsidTr="004D14E4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E36125" w:rsidRDefault="004D14E4" w:rsidP="001F2B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4E4" w:rsidRPr="00E36125" w:rsidTr="004D14E4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203D" w:rsidRDefault="004D14E4" w:rsidP="001F2B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203D" w:rsidRDefault="004D14E4" w:rsidP="001F2B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E3203D" w:rsidRDefault="004D14E4" w:rsidP="001F2B4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E3203D" w:rsidRDefault="004D14E4" w:rsidP="001F2B4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4D14E4" w:rsidRPr="00D57407" w:rsidTr="004D14E4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1F2B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1F2B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5545E4" w:rsidRDefault="004D14E4" w:rsidP="001F2B4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242846" w:rsidRDefault="004D14E4" w:rsidP="001F2B47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4D14E4" w:rsidRPr="00E55115" w:rsidRDefault="004D14E4" w:rsidP="004D1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4E4" w:rsidRPr="00E55115" w:rsidRDefault="004D14E4" w:rsidP="004D14E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4D14E4" w:rsidRPr="008A4902" w:rsidTr="004D14E4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4D14E4" w:rsidRPr="008A4902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  <w:r w:rsidRPr="008A4902">
              <w:t>6</w:t>
            </w:r>
          </w:p>
        </w:tc>
      </w:tr>
      <w:tr w:rsidR="004D14E4" w:rsidRPr="008A4902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3F65F8" w:rsidRDefault="004D14E4" w:rsidP="001F2B47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  <w:jc w:val="center"/>
            </w:pPr>
          </w:p>
        </w:tc>
      </w:tr>
      <w:tr w:rsidR="004D14E4" w:rsidRPr="008A4902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1F2B47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8A4902" w:rsidRDefault="004D14E4" w:rsidP="001F2B47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1F2B47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1F2B47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Default="004D14E4" w:rsidP="001F2B47">
            <w:pPr>
              <w:snapToGrid w:val="0"/>
              <w:jc w:val="center"/>
            </w:pPr>
          </w:p>
        </w:tc>
      </w:tr>
      <w:tr w:rsidR="004D14E4" w:rsidRPr="00D57407" w:rsidTr="004D14E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1F2B47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1F2B47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1F2B47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Pr="00D57407" w:rsidRDefault="004D14E4" w:rsidP="001F2B47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4E4" w:rsidRDefault="004D14E4" w:rsidP="001F2B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4E4" w:rsidRDefault="004D14E4" w:rsidP="001F2B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BF2A63" w:rsidRDefault="00BF2A63" w:rsidP="00225397">
      <w:pPr>
        <w:pStyle w:val="ConsPlusNonformat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F2A63" w:rsidSect="00943D7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35" w:rsidRDefault="004F2035" w:rsidP="00603A8D">
      <w:r>
        <w:separator/>
      </w:r>
    </w:p>
  </w:endnote>
  <w:endnote w:type="continuationSeparator" w:id="0">
    <w:p w:rsidR="004F2035" w:rsidRDefault="004F2035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35" w:rsidRDefault="004F2035" w:rsidP="00603A8D">
      <w:r>
        <w:separator/>
      </w:r>
    </w:p>
  </w:footnote>
  <w:footnote w:type="continuationSeparator" w:id="0">
    <w:p w:rsidR="004F2035" w:rsidRDefault="004F2035" w:rsidP="0060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47BF8"/>
    <w:rsid w:val="00051FC6"/>
    <w:rsid w:val="000522DF"/>
    <w:rsid w:val="00054C67"/>
    <w:rsid w:val="0006536B"/>
    <w:rsid w:val="000716F5"/>
    <w:rsid w:val="000879FF"/>
    <w:rsid w:val="00097CC9"/>
    <w:rsid w:val="000A4708"/>
    <w:rsid w:val="000C3EE6"/>
    <w:rsid w:val="000C7B53"/>
    <w:rsid w:val="000E71A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87A15"/>
    <w:rsid w:val="00193F1B"/>
    <w:rsid w:val="001A15A3"/>
    <w:rsid w:val="001A22F0"/>
    <w:rsid w:val="001C2D05"/>
    <w:rsid w:val="001C7BAE"/>
    <w:rsid w:val="001D4B26"/>
    <w:rsid w:val="001E5B03"/>
    <w:rsid w:val="001F157E"/>
    <w:rsid w:val="001F1AF0"/>
    <w:rsid w:val="0021200F"/>
    <w:rsid w:val="002147CD"/>
    <w:rsid w:val="00225397"/>
    <w:rsid w:val="0023397F"/>
    <w:rsid w:val="0024422D"/>
    <w:rsid w:val="00250580"/>
    <w:rsid w:val="00251E06"/>
    <w:rsid w:val="002606CF"/>
    <w:rsid w:val="002638EA"/>
    <w:rsid w:val="00272C4E"/>
    <w:rsid w:val="002824D4"/>
    <w:rsid w:val="00291A1F"/>
    <w:rsid w:val="002A6094"/>
    <w:rsid w:val="002B3AFA"/>
    <w:rsid w:val="002B4921"/>
    <w:rsid w:val="002B71F4"/>
    <w:rsid w:val="002C55B9"/>
    <w:rsid w:val="002E23C4"/>
    <w:rsid w:val="002E4F64"/>
    <w:rsid w:val="00302DA2"/>
    <w:rsid w:val="003109EC"/>
    <w:rsid w:val="00320E91"/>
    <w:rsid w:val="00323BCA"/>
    <w:rsid w:val="00332E61"/>
    <w:rsid w:val="0033453F"/>
    <w:rsid w:val="00361C1A"/>
    <w:rsid w:val="0036791D"/>
    <w:rsid w:val="003A0B8A"/>
    <w:rsid w:val="003A2B07"/>
    <w:rsid w:val="003A331F"/>
    <w:rsid w:val="003B7191"/>
    <w:rsid w:val="003D018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5643E"/>
    <w:rsid w:val="00477AD8"/>
    <w:rsid w:val="0049462E"/>
    <w:rsid w:val="00494AC8"/>
    <w:rsid w:val="004969CA"/>
    <w:rsid w:val="00497321"/>
    <w:rsid w:val="004A779E"/>
    <w:rsid w:val="004B4C42"/>
    <w:rsid w:val="004C1C55"/>
    <w:rsid w:val="004C6B6D"/>
    <w:rsid w:val="004C6D95"/>
    <w:rsid w:val="004C7676"/>
    <w:rsid w:val="004D14E4"/>
    <w:rsid w:val="004E15CC"/>
    <w:rsid w:val="004F0934"/>
    <w:rsid w:val="004F0F18"/>
    <w:rsid w:val="004F2035"/>
    <w:rsid w:val="004F438D"/>
    <w:rsid w:val="004F5FF3"/>
    <w:rsid w:val="004F7AFE"/>
    <w:rsid w:val="005100A2"/>
    <w:rsid w:val="00524A85"/>
    <w:rsid w:val="005271F9"/>
    <w:rsid w:val="005455EE"/>
    <w:rsid w:val="005466DD"/>
    <w:rsid w:val="0055790E"/>
    <w:rsid w:val="00562221"/>
    <w:rsid w:val="005679B3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C75EE"/>
    <w:rsid w:val="005D6062"/>
    <w:rsid w:val="005E15ED"/>
    <w:rsid w:val="005E7E6E"/>
    <w:rsid w:val="005F20BE"/>
    <w:rsid w:val="005F2333"/>
    <w:rsid w:val="005F46C7"/>
    <w:rsid w:val="00603A8D"/>
    <w:rsid w:val="00640776"/>
    <w:rsid w:val="00660684"/>
    <w:rsid w:val="00673ED3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121F"/>
    <w:rsid w:val="00796F4D"/>
    <w:rsid w:val="007A475E"/>
    <w:rsid w:val="007A7FBF"/>
    <w:rsid w:val="007B2973"/>
    <w:rsid w:val="007C50C1"/>
    <w:rsid w:val="007C5DFC"/>
    <w:rsid w:val="007C763B"/>
    <w:rsid w:val="007D54EE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B2907"/>
    <w:rsid w:val="008C1234"/>
    <w:rsid w:val="008D4F99"/>
    <w:rsid w:val="008E715F"/>
    <w:rsid w:val="008F2233"/>
    <w:rsid w:val="008F7E93"/>
    <w:rsid w:val="00903CB5"/>
    <w:rsid w:val="009122BF"/>
    <w:rsid w:val="00913B09"/>
    <w:rsid w:val="00925260"/>
    <w:rsid w:val="00936E0A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1DF6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91738"/>
    <w:rsid w:val="00AA27DD"/>
    <w:rsid w:val="00AA5255"/>
    <w:rsid w:val="00AC4B91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2A63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6100F"/>
    <w:rsid w:val="00C708F5"/>
    <w:rsid w:val="00C74A75"/>
    <w:rsid w:val="00C91631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2B14"/>
    <w:rsid w:val="00D634AC"/>
    <w:rsid w:val="00D70A9E"/>
    <w:rsid w:val="00D71737"/>
    <w:rsid w:val="00D828C9"/>
    <w:rsid w:val="00D87238"/>
    <w:rsid w:val="00D97628"/>
    <w:rsid w:val="00DC1FF6"/>
    <w:rsid w:val="00DC4149"/>
    <w:rsid w:val="00DD023C"/>
    <w:rsid w:val="00DE5282"/>
    <w:rsid w:val="00DF4E1A"/>
    <w:rsid w:val="00DF558D"/>
    <w:rsid w:val="00E01B0F"/>
    <w:rsid w:val="00E029D3"/>
    <w:rsid w:val="00E13780"/>
    <w:rsid w:val="00E165FA"/>
    <w:rsid w:val="00E26815"/>
    <w:rsid w:val="00E26B27"/>
    <w:rsid w:val="00E27E24"/>
    <w:rsid w:val="00E4143D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23C8"/>
    <w:rsid w:val="00F26A57"/>
    <w:rsid w:val="00F34DDA"/>
    <w:rsid w:val="00F37961"/>
    <w:rsid w:val="00F45160"/>
    <w:rsid w:val="00F5118F"/>
    <w:rsid w:val="00F51481"/>
    <w:rsid w:val="00F538BD"/>
    <w:rsid w:val="00F61465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A01DF6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01DF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45">
    <w:name w:val="xl145"/>
    <w:basedOn w:val="a"/>
    <w:rsid w:val="00A01D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A01D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01D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40</cp:revision>
  <cp:lastPrinted>2019-05-20T06:50:00Z</cp:lastPrinted>
  <dcterms:created xsi:type="dcterms:W3CDTF">2018-05-04T05:19:00Z</dcterms:created>
  <dcterms:modified xsi:type="dcterms:W3CDTF">2023-05-15T12:26:00Z</dcterms:modified>
</cp:coreProperties>
</file>